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042FC9" w:rsidRPr="00CF6EEE" w:rsidTr="00436C18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C9" w:rsidRPr="00CF6EEE" w:rsidRDefault="00042FC9" w:rsidP="00436C18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0343CDE" wp14:editId="2F0FE6F8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C9" w:rsidRPr="00CF6EEE" w:rsidRDefault="00042FC9" w:rsidP="00436C18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042FC9" w:rsidRPr="00CF6EEE" w:rsidRDefault="00042FC9" w:rsidP="00436C1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042FC9" w:rsidRPr="00CF6EEE" w:rsidRDefault="00042FC9" w:rsidP="00042F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042FC9" w:rsidRPr="00CF6EEE" w:rsidRDefault="00042FC9" w:rsidP="00042FC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4/1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042FC9" w:rsidRPr="00042FC9" w:rsidRDefault="00042FC9" w:rsidP="00042FC9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СЕЛЬСКОГО </w:t>
      </w:r>
      <w:proofErr w:type="gramStart"/>
      <w:r w:rsidRPr="00042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 СКВОРЧИХИНСКИЙ</w:t>
      </w:r>
      <w:proofErr w:type="gramEnd"/>
      <w:r w:rsidRPr="00042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042FC9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РАЙОНА ИШИМБАЙСКИЙ</w:t>
        </w:r>
      </w:smartTag>
      <w:r w:rsidRPr="00042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2022 ГОД И НА ПЛАНОВЫЙ ПЕРИОД 2023 и 2024 ГОДОВ»</w:t>
      </w:r>
    </w:p>
    <w:p w:rsidR="00042FC9" w:rsidRPr="00042FC9" w:rsidRDefault="00042FC9" w:rsidP="00042FC9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Статья 1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1.Утвердить основные характеристики бюджета сельского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042FC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района </w:t>
        </w:r>
        <w:proofErr w:type="spellStart"/>
        <w:r w:rsidRPr="00042FC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Ишимбайский</w:t>
        </w:r>
      </w:smartTag>
      <w:proofErr w:type="spell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(далее бюджет сельского поселения)  на</w:t>
      </w:r>
      <w:r w:rsidRPr="00042F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2022 </w:t>
      </w: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  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прогнозируемый общий объем доходов бюджета сельского поселения в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сумме  8080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,6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бюджета сельского поселения в сумме 8080,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6  тыс.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основные характеристики бюджета сельского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042FC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района </w:t>
        </w:r>
        <w:proofErr w:type="spellStart"/>
        <w:r w:rsidRPr="00042FC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Ишимбайский</w:t>
        </w:r>
      </w:smartTag>
      <w:proofErr w:type="spell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(далее бюджет сельского поселения)  на</w:t>
      </w:r>
      <w:r w:rsidRPr="00042F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плановый период 2023 и 2024 годов</w:t>
      </w: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прогнозируемый общий объем доходов бюджета сельского поселения на 2023 год в сумме 7410,5 тыс. рублей и на 2024 год в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сумме  7422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,4 тыс. рублей;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бюджета сельского поселения на 2023 год в сумме     7410,5 тыс. рублей, в том числе условно утвержденные расходы в сумме 185,0    тыс. рублей, и на 2024 год в сумме 7422,4 тыс. рублей, в том числе условно утвержденные расходы в сумме 371,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>0  тыс.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2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</w:t>
      </w:r>
      <w:r w:rsidRPr="00042FC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в местный бюджет части прибыли муниципальных унитарных предприятий».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поступления доходов в бюджет сельского поселения:</w:t>
      </w:r>
    </w:p>
    <w:p w:rsidR="00042FC9" w:rsidRPr="00042FC9" w:rsidRDefault="00042FC9" w:rsidP="00042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 1 к настоящему Решению;</w:t>
      </w:r>
    </w:p>
    <w:p w:rsidR="00042FC9" w:rsidRPr="00042FC9" w:rsidRDefault="00042FC9" w:rsidP="00042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согласно приложению 2 к настоящему Решению.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кредитных организациях и УФК по Республике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порядке, установленном финансовым управлением администрации муниципального района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в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бюджета: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2022 год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к  настоящему  Решению;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2023 и 2024 годов согласно приложению 4 к настоящему Решению.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целевым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  (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2022 год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к  настоящему  Решению;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2023 и 2024 годов согласно приложению 6 к настоящему Решению.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ведомственную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структуру расходов бюджета  сельского  поселения: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2022 год согласно приложению 7 к настоящему Решению;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плановый период 2023 и 2024 годов согласно приложению 8 к настоящему Решению. </w:t>
      </w:r>
    </w:p>
    <w:p w:rsidR="00042FC9" w:rsidRPr="00042FC9" w:rsidRDefault="00042FC9" w:rsidP="00042FC9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8</w:t>
      </w:r>
      <w:proofErr w:type="gramEnd"/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1.Установить, что  решения и иные нормативные правовые акты сельского поселения, предусматривающие принятие новых видов расходных обязательств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3.Администрация сельского поселения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 объем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безвозмездных  поступлений из бюджета  муниципального района 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2022 год в сумме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плановый период 2023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тыс.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2024 год в сумме 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 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1.Межбюджетные трансферты, передаваемые бюджетом сельского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2022 год в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тыс.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плановый период 2023 год   тыс. рублей и 2024 год   тыс. рублей.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2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Неиспользованные  целевые</w:t>
      </w:r>
      <w:proofErr w:type="gramEnd"/>
      <w:r w:rsidRPr="00042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средства, потребность в которых в 2022 году отсутствует, подлежат возврату в доход бюджета муниципального района.</w:t>
      </w:r>
    </w:p>
    <w:p w:rsidR="00042FC9" w:rsidRPr="00042FC9" w:rsidRDefault="00042FC9" w:rsidP="00042FC9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042FC9" w:rsidRPr="00042FC9" w:rsidRDefault="00042FC9" w:rsidP="00042FC9">
      <w:pPr>
        <w:spacing w:after="0" w:line="360" w:lineRule="auto"/>
        <w:ind w:firstLine="720"/>
        <w:jc w:val="both"/>
        <w:rPr>
          <w:rFonts w:ascii="TNRCyrBash" w:eastAsia="Times New Roman" w:hAnsi="TNRCyrBash" w:cs="Times New Roman"/>
          <w:bCs/>
          <w:sz w:val="28"/>
          <w:szCs w:val="24"/>
          <w:lang w:eastAsia="ru-RU"/>
        </w:rPr>
      </w:pPr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1.Установить:</w:t>
      </w:r>
    </w:p>
    <w:p w:rsidR="00042FC9" w:rsidRPr="00042FC9" w:rsidRDefault="00042FC9" w:rsidP="00042FC9">
      <w:pPr>
        <w:spacing w:after="0" w:line="360" w:lineRule="auto"/>
        <w:ind w:firstLine="720"/>
        <w:jc w:val="both"/>
        <w:rPr>
          <w:rFonts w:ascii="TNRCyrBash" w:eastAsia="Times New Roman" w:hAnsi="TNRCyrBash" w:cs="Times New Roman"/>
          <w:bCs/>
          <w:sz w:val="28"/>
          <w:szCs w:val="24"/>
          <w:lang w:eastAsia="ru-RU"/>
        </w:rPr>
      </w:pPr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1) </w:t>
      </w:r>
      <w:proofErr w:type="gram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верхний  предел</w:t>
      </w:r>
      <w:proofErr w:type="gram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  муниципального внутреннего долга сельского  поселения на 1 января 2022 года в сумме 0 </w:t>
      </w:r>
      <w:proofErr w:type="spell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тыс.рублей</w:t>
      </w:r>
      <w:proofErr w:type="spell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, на 1 января 2023 года в сумме 0 </w:t>
      </w:r>
      <w:proofErr w:type="spell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тыс.рублей</w:t>
      </w:r>
      <w:proofErr w:type="spell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 и  на 1 января 2024 года в сумме 0 </w:t>
      </w:r>
      <w:proofErr w:type="spell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тыс.рублей</w:t>
      </w:r>
      <w:proofErr w:type="spell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, в том числе верхний  предел  долга  по муниципальным  гарантиям  на 1 января 2022 года в  сумме 0 </w:t>
      </w:r>
      <w:proofErr w:type="spell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тыс.рублей</w:t>
      </w:r>
      <w:proofErr w:type="spell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, на 1 января 2023 года в  сумме 0 тыс. рублей и на 1 января 2024 года в  сумме 0 тыс. рублей.</w:t>
      </w:r>
    </w:p>
    <w:p w:rsidR="00042FC9" w:rsidRPr="00042FC9" w:rsidRDefault="00042FC9" w:rsidP="00042FC9">
      <w:pPr>
        <w:spacing w:after="0" w:line="360" w:lineRule="auto"/>
        <w:ind w:firstLine="720"/>
        <w:jc w:val="both"/>
        <w:rPr>
          <w:rFonts w:ascii="TNRCyrBash" w:eastAsia="Times New Roman" w:hAnsi="TNRCyrBash" w:cs="Times New Roman"/>
          <w:bCs/>
          <w:sz w:val="28"/>
          <w:szCs w:val="24"/>
          <w:lang w:eastAsia="ru-RU"/>
        </w:rPr>
      </w:pPr>
      <w:proofErr w:type="gramStart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>2)предельный</w:t>
      </w:r>
      <w:proofErr w:type="gramEnd"/>
      <w:r w:rsidRPr="00042FC9">
        <w:rPr>
          <w:rFonts w:ascii="TNRCyrBash" w:eastAsia="Times New Roman" w:hAnsi="TNRCyrBash" w:cs="Times New Roman"/>
          <w:bCs/>
          <w:sz w:val="28"/>
          <w:szCs w:val="24"/>
          <w:lang w:eastAsia="ru-RU"/>
        </w:rPr>
        <w:t xml:space="preserve">  объем муниципального долга  сельского  поселения на 2022 год в сумме 0 тыс. рублей, на 2023 год в сумме 0 тыс. рублей и на 2024 год в сумме 0 тыс. рублей.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13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сельского поселения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 на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14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1.Установить, что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1)поступление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района средств в виде дотаций, субсидий, субвенций, иных межбюджетных трансфертов и прочих безвозмездных поступлений;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2)использование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образованной в ходе  исполнения бюджета  сельского 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 расходов бюджетов;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3)использование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бюджета сельского  поселения на 1 января 2022 года;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4)иные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установленные бюджетным законодательством.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15</w:t>
      </w:r>
      <w:proofErr w:type="gramEnd"/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1.Решение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в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установленным Уставом  порядке.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2.Настоящее Решение </w:t>
      </w:r>
      <w:proofErr w:type="gram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2022 года.</w:t>
      </w: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C9" w:rsidRPr="00042FC9" w:rsidRDefault="00042FC9" w:rsidP="0004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C9" w:rsidRPr="00042FC9" w:rsidRDefault="00042FC9" w:rsidP="00042FC9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</w:t>
      </w:r>
      <w:proofErr w:type="spellStart"/>
      <w:r w:rsidRPr="0004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С.А.Герасименко</w:t>
      </w:r>
      <w:proofErr w:type="spellEnd"/>
    </w:p>
    <w:p w:rsidR="00042FC9" w:rsidRPr="00042FC9" w:rsidRDefault="00042FC9" w:rsidP="00042FC9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52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C9" w:rsidRPr="00042FC9" w:rsidRDefault="00042FC9" w:rsidP="00042FC9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52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C9" w:rsidRPr="00042FC9" w:rsidRDefault="00042FC9">
      <w:pPr>
        <w:rPr>
          <w:rFonts w:ascii="Times New Roman" w:hAnsi="Times New Roman" w:cs="Times New Roman"/>
          <w:sz w:val="28"/>
          <w:szCs w:val="28"/>
        </w:rPr>
      </w:pPr>
    </w:p>
    <w:sectPr w:rsidR="00042FC9" w:rsidRPr="00042FC9" w:rsidSect="00042FC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C"/>
    <w:rsid w:val="00042FC9"/>
    <w:rsid w:val="002052C3"/>
    <w:rsid w:val="0053665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64866B-D51D-445F-8592-E6DE403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2021-12-22T08:05:00Z</cp:lastPrinted>
  <dcterms:created xsi:type="dcterms:W3CDTF">2021-12-22T08:02:00Z</dcterms:created>
  <dcterms:modified xsi:type="dcterms:W3CDTF">2021-12-22T08:07:00Z</dcterms:modified>
</cp:coreProperties>
</file>